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C8698" w14:textId="77777777" w:rsidR="00EF36B7" w:rsidRPr="0089268E" w:rsidRDefault="00EF36B7" w:rsidP="00EF36B7">
      <w:pPr>
        <w:jc w:val="center"/>
        <w:rPr>
          <w:b/>
          <w:bCs/>
        </w:rPr>
      </w:pPr>
      <w:r w:rsidRPr="0089268E">
        <w:rPr>
          <w:b/>
          <w:bCs/>
        </w:rPr>
        <w:t>QUESTIONS – ANSWERS</w:t>
      </w:r>
    </w:p>
    <w:p w14:paraId="41517B5D" w14:textId="058BB0A5" w:rsidR="0089268E" w:rsidRPr="0089268E" w:rsidRDefault="0089268E" w:rsidP="0089268E">
      <w:pPr>
        <w:numPr>
          <w:ilvl w:val="0"/>
          <w:numId w:val="10"/>
        </w:numPr>
      </w:pPr>
      <w:r w:rsidRPr="0089268E">
        <w:t>Could you provide detailed information regarding the different usage profiles, along with the number of users associated with each profile. In other terms, we need to know how many users will need a relatively limited access to the Digital platform (to upload documents, to follow trainings, to see the results of the appraisals, to access his salary slip etc.) and how many users will need an extended access (to configure the evaluation forms, to send approval request, to create new trainings materials, to have access to some reporting data etc.) </w:t>
      </w:r>
    </w:p>
    <w:p w14:paraId="3E081A56" w14:textId="77777777" w:rsidR="0089268E" w:rsidRPr="0089268E" w:rsidRDefault="0089268E" w:rsidP="0089268E"/>
    <w:p w14:paraId="4C1212F2" w14:textId="553274AE"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A: HR staff needs to have full access (see our previous answer in Q&amp;A 8 for the people working in HR for the pilot schools).</w:t>
      </w:r>
    </w:p>
    <w:p w14:paraId="6C6DB59D"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For all schools, the estimated number of SKU and KU with a full access right can be presented as in the table below (data copied from the Specifications 7.2. Specifities of the ES in relation to HR):</w:t>
      </w:r>
    </w:p>
    <w:p w14:paraId="47DD30DC" w14:textId="77777777" w:rsidR="0089268E" w:rsidRPr="0089268E" w:rsidRDefault="0089268E" w:rsidP="0089268E">
      <w:pPr>
        <w:rPr>
          <w:rFonts w:ascii="Arial" w:hAnsi="Arial" w:cs="Arial"/>
          <w:color w:val="FF0000"/>
          <w:sz w:val="20"/>
          <w:szCs w:val="20"/>
        </w:rPr>
      </w:pPr>
    </w:p>
    <w:tbl>
      <w:tblPr>
        <w:tblW w:w="0" w:type="auto"/>
        <w:tblInd w:w="720" w:type="dxa"/>
        <w:tblCellMar>
          <w:left w:w="0" w:type="dxa"/>
          <w:right w:w="0" w:type="dxa"/>
        </w:tblCellMar>
        <w:tblLook w:val="04A0" w:firstRow="1" w:lastRow="0" w:firstColumn="1" w:lastColumn="0" w:noHBand="0" w:noVBand="1"/>
      </w:tblPr>
      <w:tblGrid>
        <w:gridCol w:w="2613"/>
        <w:gridCol w:w="2588"/>
        <w:gridCol w:w="3419"/>
      </w:tblGrid>
      <w:tr w:rsidR="0089268E" w:rsidRPr="0089268E" w14:paraId="2172A894" w14:textId="77777777" w:rsidTr="0089268E">
        <w:tc>
          <w:tcPr>
            <w:tcW w:w="313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BA8464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School</w:t>
            </w:r>
          </w:p>
        </w:tc>
        <w:tc>
          <w:tcPr>
            <w:tcW w:w="31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9C1FC0"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Total of FTE (the real number of staff can be higher because of half-time staff)</w:t>
            </w:r>
          </w:p>
        </w:tc>
        <w:tc>
          <w:tcPr>
            <w:tcW w:w="41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7AF76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Estimated number of HR SKU and KU per school (entity) to operate in and set the platform (setting rights, changing validation flows, encoding for a staff, creating a profile for a new staff, overview on all processes, etc) – average number</w:t>
            </w:r>
          </w:p>
        </w:tc>
      </w:tr>
      <w:tr w:rsidR="0089268E" w:rsidRPr="0089268E" w14:paraId="6F3546C9"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B9EE09"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Alicante</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65EDB8E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136.95</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6BDBED8E"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455C1676"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E983EE"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Bergen</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3E77257E"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 xml:space="preserve">84,6 </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7BE6190E"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7CF6A7F8"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D687C1"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Brussels I</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5922DD9D"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429.03</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299CBC7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57BCF411"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96E2A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Brussels II</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40813F56"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372.6</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3967A1F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511D1D1B"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EC15A2"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Brussels III</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2A06991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293</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5A2B7B11"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5AE1EED0"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F27E28"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Brussels IV</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45DEAD3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297</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0AA79A9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0CA54E1C"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93939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Frankfurt</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40926651"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204</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4B6C166E"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18654405"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B23AF9"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Karlsruhe</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1C8D422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120.2</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722F3731"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1DBC47A9"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EF38F9"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Lux I</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17699B66"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336.4</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497B641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116E7B4D"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15EEC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Lux II</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7376B7C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261.1</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2C74A1C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6941C962"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7CFB0F"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Mol</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13B8503C"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103</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20EAC2D9"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5097C7D8"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D7AA8B"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Munich</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3BB6463A"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237</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5AB0ED98"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6D0A09D7"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DA8B5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Varese</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001FD18A"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166.78</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5FB63B3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7B38955E"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285E10"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OSGES</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68AD6773"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84.7</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5F66863C"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6</w:t>
            </w:r>
          </w:p>
        </w:tc>
      </w:tr>
      <w:tr w:rsidR="0089268E" w:rsidRPr="0089268E" w14:paraId="350EA943" w14:textId="77777777" w:rsidTr="0089268E">
        <w:tc>
          <w:tcPr>
            <w:tcW w:w="313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C734BA"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lastRenderedPageBreak/>
              <w:t>TOTAL</w:t>
            </w:r>
          </w:p>
        </w:tc>
        <w:tc>
          <w:tcPr>
            <w:tcW w:w="3132" w:type="dxa"/>
            <w:tcBorders>
              <w:top w:val="nil"/>
              <w:left w:val="nil"/>
              <w:bottom w:val="single" w:sz="8" w:space="0" w:color="auto"/>
              <w:right w:val="single" w:sz="8" w:space="0" w:color="auto"/>
            </w:tcBorders>
            <w:tcMar>
              <w:top w:w="0" w:type="dxa"/>
              <w:left w:w="108" w:type="dxa"/>
              <w:bottom w:w="0" w:type="dxa"/>
              <w:right w:w="108" w:type="dxa"/>
            </w:tcMar>
            <w:hideMark/>
          </w:tcPr>
          <w:p w14:paraId="293EADE5"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3126.36</w:t>
            </w:r>
          </w:p>
        </w:tc>
        <w:tc>
          <w:tcPr>
            <w:tcW w:w="4171" w:type="dxa"/>
            <w:tcBorders>
              <w:top w:val="nil"/>
              <w:left w:val="nil"/>
              <w:bottom w:val="single" w:sz="8" w:space="0" w:color="auto"/>
              <w:right w:val="single" w:sz="8" w:space="0" w:color="auto"/>
            </w:tcBorders>
            <w:tcMar>
              <w:top w:w="0" w:type="dxa"/>
              <w:left w:w="108" w:type="dxa"/>
              <w:bottom w:w="0" w:type="dxa"/>
              <w:right w:w="108" w:type="dxa"/>
            </w:tcMar>
            <w:hideMark/>
          </w:tcPr>
          <w:p w14:paraId="64A1FA5D"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84</w:t>
            </w:r>
          </w:p>
        </w:tc>
      </w:tr>
    </w:tbl>
    <w:p w14:paraId="0E804343" w14:textId="77777777" w:rsidR="0089268E" w:rsidRPr="0089268E" w:rsidRDefault="0089268E" w:rsidP="0089268E">
      <w:pPr>
        <w:rPr>
          <w:rFonts w:ascii="Arial" w:hAnsi="Arial" w:cs="Arial"/>
          <w:color w:val="FF0000"/>
          <w:sz w:val="20"/>
          <w:szCs w:val="20"/>
        </w:rPr>
      </w:pPr>
    </w:p>
    <w:p w14:paraId="69A12599" w14:textId="77777777" w:rsidR="0089268E" w:rsidRPr="0089268E" w:rsidRDefault="0089268E" w:rsidP="0089268E">
      <w:pPr>
        <w:rPr>
          <w:rFonts w:ascii="Arial" w:hAnsi="Arial" w:cs="Arial"/>
          <w:color w:val="FF0000"/>
          <w:sz w:val="20"/>
          <w:szCs w:val="20"/>
        </w:rPr>
      </w:pPr>
    </w:p>
    <w:p w14:paraId="662C4AA0" w14:textId="77777777"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Secretary-General, Deputy Secretary-General, Directors, and Head of Units/Deputy Directors are considered as superior managers and VALIDATORS and should also have specific accesses (but less than HR) because they are highly involved in treatment of absence, evaluation, overtime and training for examples: In total, it represents around 64 people in the whole ES system:</w:t>
      </w:r>
    </w:p>
    <w:p w14:paraId="4C37D97B"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1 SG</w:t>
      </w:r>
    </w:p>
    <w:p w14:paraId="159F191B"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1 DSG</w:t>
      </w:r>
    </w:p>
    <w:p w14:paraId="1392D6FC"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13 Directors</w:t>
      </w:r>
    </w:p>
    <w:p w14:paraId="034E418A"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13 Deputy Directors for Finance and Administration</w:t>
      </w:r>
    </w:p>
    <w:p w14:paraId="6C350340"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15 Deputy Directors in Primary cycle (13 + 1 in Evere and 1 in Berkendael)</w:t>
      </w:r>
    </w:p>
    <w:p w14:paraId="48CAB054" w14:textId="77777777" w:rsidR="0089268E" w:rsidRP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 xml:space="preserve">13 Deputy Directors in Secondary cycle </w:t>
      </w:r>
    </w:p>
    <w:p w14:paraId="22DB5DA9" w14:textId="16CEB2BB" w:rsidR="0089268E" w:rsidRDefault="0089268E" w:rsidP="0089268E">
      <w:pPr>
        <w:numPr>
          <w:ilvl w:val="1"/>
          <w:numId w:val="9"/>
        </w:numPr>
        <w:rPr>
          <w:rFonts w:ascii="Arial" w:hAnsi="Arial" w:cs="Arial"/>
          <w:color w:val="FF0000"/>
          <w:sz w:val="20"/>
          <w:szCs w:val="20"/>
        </w:rPr>
      </w:pPr>
      <w:r w:rsidRPr="0089268E">
        <w:rPr>
          <w:rFonts w:ascii="Arial" w:hAnsi="Arial" w:cs="Arial"/>
          <w:color w:val="FF0000"/>
          <w:sz w:val="20"/>
          <w:szCs w:val="20"/>
        </w:rPr>
        <w:t>8 Head</w:t>
      </w:r>
      <w:r w:rsidR="00F1436D">
        <w:rPr>
          <w:rFonts w:ascii="Arial" w:hAnsi="Arial" w:cs="Arial"/>
          <w:color w:val="FF0000"/>
          <w:sz w:val="20"/>
          <w:szCs w:val="20"/>
        </w:rPr>
        <w:t>s</w:t>
      </w:r>
      <w:r w:rsidRPr="0089268E">
        <w:rPr>
          <w:rFonts w:ascii="Arial" w:hAnsi="Arial" w:cs="Arial"/>
          <w:color w:val="FF0000"/>
          <w:sz w:val="20"/>
          <w:szCs w:val="20"/>
        </w:rPr>
        <w:t xml:space="preserve"> of Unit in the OSG</w:t>
      </w:r>
    </w:p>
    <w:p w14:paraId="5788B657" w14:textId="5E524B6E" w:rsidR="00712D41" w:rsidRPr="00712D41" w:rsidRDefault="00712D41" w:rsidP="00712D41">
      <w:pPr>
        <w:pStyle w:val="ListParagraph"/>
        <w:numPr>
          <w:ilvl w:val="1"/>
          <w:numId w:val="9"/>
        </w:numPr>
        <w:spacing w:before="100" w:beforeAutospacing="1" w:after="100" w:afterAutospacing="1" w:line="240" w:lineRule="auto"/>
        <w:contextualSpacing w:val="0"/>
        <w:rPr>
          <w:rFonts w:ascii="Arial" w:hAnsi="Arial" w:cs="Arial"/>
          <w:color w:val="FF0000"/>
          <w:sz w:val="20"/>
          <w:szCs w:val="20"/>
        </w:rPr>
      </w:pPr>
      <w:r w:rsidRPr="00712D41">
        <w:rPr>
          <w:rFonts w:ascii="Arial" w:hAnsi="Arial" w:cs="Arial"/>
          <w:color w:val="FF0000"/>
          <w:sz w:val="20"/>
          <w:szCs w:val="20"/>
        </w:rPr>
        <w:t xml:space="preserve">10 Heads of </w:t>
      </w:r>
      <w:r w:rsidR="00F1436D">
        <w:rPr>
          <w:rFonts w:ascii="Arial" w:hAnsi="Arial" w:cs="Arial"/>
          <w:color w:val="FF0000"/>
          <w:sz w:val="20"/>
          <w:szCs w:val="20"/>
        </w:rPr>
        <w:t>cell</w:t>
      </w:r>
      <w:r w:rsidRPr="00712D41">
        <w:rPr>
          <w:rFonts w:ascii="Arial" w:hAnsi="Arial" w:cs="Arial"/>
          <w:color w:val="FF0000"/>
          <w:sz w:val="20"/>
          <w:szCs w:val="20"/>
        </w:rPr>
        <w:t xml:space="preserve"> in the OSG</w:t>
      </w:r>
    </w:p>
    <w:p w14:paraId="5F24BE60" w14:textId="77777777" w:rsidR="00712D41" w:rsidRPr="0089268E" w:rsidRDefault="00712D41" w:rsidP="00712D41">
      <w:pPr>
        <w:ind w:left="1440"/>
        <w:rPr>
          <w:rFonts w:ascii="Arial" w:hAnsi="Arial" w:cs="Arial"/>
          <w:color w:val="FF0000"/>
          <w:sz w:val="20"/>
          <w:szCs w:val="20"/>
        </w:rPr>
      </w:pPr>
    </w:p>
    <w:p w14:paraId="54A4D963" w14:textId="7A6BE52D" w:rsidR="0089268E" w:rsidRPr="0089268E" w:rsidRDefault="0089268E" w:rsidP="0089268E">
      <w:pPr>
        <w:rPr>
          <w:rFonts w:ascii="Arial" w:hAnsi="Arial" w:cs="Arial"/>
          <w:color w:val="FF0000"/>
          <w:sz w:val="20"/>
          <w:szCs w:val="20"/>
        </w:rPr>
      </w:pPr>
      <w:r w:rsidRPr="0089268E">
        <w:rPr>
          <w:rFonts w:ascii="Arial" w:hAnsi="Arial" w:cs="Arial"/>
          <w:color w:val="FF0000"/>
          <w:sz w:val="20"/>
          <w:szCs w:val="20"/>
        </w:rPr>
        <w:t xml:space="preserve">The other staff members (3126 - 84 – 64 = 2978) need more limited access. </w:t>
      </w:r>
    </w:p>
    <w:p w14:paraId="45F1451F" w14:textId="77777777" w:rsidR="0089268E" w:rsidRPr="0089268E" w:rsidRDefault="0089268E" w:rsidP="0089268E">
      <w:pPr>
        <w:rPr>
          <w:rFonts w:ascii="Arial" w:hAnsi="Arial" w:cs="Arial"/>
          <w:sz w:val="20"/>
          <w:szCs w:val="20"/>
        </w:rPr>
      </w:pPr>
    </w:p>
    <w:p w14:paraId="633D07A0" w14:textId="5D922B21" w:rsidR="0089268E" w:rsidRPr="0089268E" w:rsidRDefault="0089268E" w:rsidP="0089268E">
      <w:pPr>
        <w:pStyle w:val="ListParagraph"/>
        <w:numPr>
          <w:ilvl w:val="0"/>
          <w:numId w:val="9"/>
        </w:numPr>
      </w:pPr>
      <w:r w:rsidRPr="0089268E">
        <w:t xml:space="preserve">For the recognition of the sick leave, you mention a specific case with Luxembourg: « link to the Caisse des allocations ». What kind of connection do you expect us to deliver ? Can that be treated with an (automatic) email sent to them or is a real connection with their software expected ? </w:t>
      </w:r>
    </w:p>
    <w:p w14:paraId="7C2102A6" w14:textId="77777777" w:rsidR="0089268E" w:rsidRPr="0089268E" w:rsidRDefault="0089268E" w:rsidP="0089268E">
      <w:pPr>
        <w:spacing w:after="0" w:line="240" w:lineRule="auto"/>
        <w:ind w:left="360"/>
        <w:rPr>
          <w:rFonts w:eastAsia="Times New Roman"/>
          <w:color w:val="FF0000"/>
        </w:rPr>
      </w:pPr>
      <w:r w:rsidRPr="0089268E">
        <w:rPr>
          <w:color w:val="FF0000"/>
        </w:rPr>
        <w:t xml:space="preserve">A: </w:t>
      </w:r>
      <w:r w:rsidRPr="0089268E">
        <w:rPr>
          <w:rFonts w:eastAsia="Times New Roman"/>
          <w:color w:val="FF0000"/>
        </w:rPr>
        <w:t xml:space="preserve">Since 2021 the schools in Luxembourg use the application </w:t>
      </w:r>
      <w:hyperlink r:id="rId5" w:history="1">
        <w:r w:rsidRPr="0089268E">
          <w:rPr>
            <w:rStyle w:val="Hyperlink"/>
            <w:rFonts w:eastAsia="Times New Roman"/>
            <w:color w:val="FF0000"/>
          </w:rPr>
          <w:t>KeyPaye - Partenaires Sociaux S.A.</w:t>
        </w:r>
      </w:hyperlink>
      <w:r w:rsidRPr="0089268E">
        <w:rPr>
          <w:rFonts w:eastAsia="Times New Roman"/>
          <w:color w:val="FF0000"/>
        </w:rPr>
        <w:t xml:space="preserve"> for salary calculation and other HR processes regarding locally recruited staff (the AAS and LRT staff).</w:t>
      </w:r>
    </w:p>
    <w:p w14:paraId="196FA706" w14:textId="77777777" w:rsidR="0089268E" w:rsidRPr="0089268E" w:rsidRDefault="0089268E" w:rsidP="0089268E">
      <w:pPr>
        <w:ind w:left="360"/>
        <w:rPr>
          <w:color w:val="FF0000"/>
        </w:rPr>
      </w:pPr>
      <w:r w:rsidRPr="0089268E">
        <w:rPr>
          <w:color w:val="FF0000"/>
        </w:rPr>
        <w:t>Regarding reimbursement by the employers' mutual insurance company, reimbursement is made on the basis of electronic exchanges initiated by the School administration via a coded file sent using a secure platform to the joint social security center as part of all sickness declarations. This then generates a return file for processing reimbursements received or to be clarified. The School's HR software KeyPaye generates these sending files and incorporates the return files.</w:t>
      </w:r>
    </w:p>
    <w:p w14:paraId="6B674973" w14:textId="77777777" w:rsidR="0089268E" w:rsidRPr="0089268E" w:rsidRDefault="0089268E" w:rsidP="0089268E">
      <w:pPr>
        <w:ind w:left="360"/>
        <w:rPr>
          <w:color w:val="FF0000"/>
        </w:rPr>
      </w:pPr>
      <w:r w:rsidRPr="0089268E">
        <w:rPr>
          <w:color w:val="FF0000"/>
        </w:rPr>
        <w:t xml:space="preserve">The list of specific leaves is not exclusively related to sick leave for children, but also other cases (can be found on: </w:t>
      </w:r>
      <w:hyperlink r:id="rId6" w:history="1">
        <w:r w:rsidRPr="0089268E">
          <w:rPr>
            <w:rStyle w:val="Hyperlink"/>
            <w:color w:val="FF0000"/>
          </w:rPr>
          <w:t>https://guichet.public.lu/fr/citoyens/famille-education/parents/garde-enfants/conge-maladie-enfant.html</w:t>
        </w:r>
      </w:hyperlink>
      <w:r w:rsidRPr="0089268E">
        <w:rPr>
          <w:color w:val="FF0000"/>
        </w:rPr>
        <w:t>).</w:t>
      </w:r>
    </w:p>
    <w:p w14:paraId="7479AA6C" w14:textId="77777777" w:rsidR="0089268E" w:rsidRPr="0089268E" w:rsidRDefault="0089268E" w:rsidP="0089268E">
      <w:pPr>
        <w:pStyle w:val="ListParagraph"/>
        <w:rPr>
          <w:color w:val="FF0000"/>
          <w14:ligatures w14:val="none"/>
        </w:rPr>
      </w:pPr>
    </w:p>
    <w:p w14:paraId="7A8BF5EE" w14:textId="77777777" w:rsidR="0089268E" w:rsidRPr="0089268E" w:rsidRDefault="0089268E" w:rsidP="0089268E">
      <w:pPr>
        <w:pStyle w:val="ListParagraph"/>
        <w:rPr>
          <w:color w:val="FF0000"/>
        </w:rPr>
      </w:pPr>
      <w:r w:rsidRPr="0089268E">
        <w:rPr>
          <w:color w:val="FF0000"/>
        </w:rPr>
        <w:t xml:space="preserve">If possible, we would like to link both platforms for documents and data flow. </w:t>
      </w:r>
    </w:p>
    <w:p w14:paraId="0BBB1385" w14:textId="66669FAC" w:rsidR="0089268E" w:rsidRPr="0089268E" w:rsidRDefault="0089268E" w:rsidP="0089268E"/>
    <w:p w14:paraId="0F46FFE1" w14:textId="4F9017D6" w:rsidR="0089268E" w:rsidRPr="0089268E" w:rsidRDefault="0089268E" w:rsidP="0089268E">
      <w:pPr>
        <w:pStyle w:val="ListParagraph"/>
        <w:rPr>
          <w:rFonts w:ascii="Arial" w:hAnsi="Arial" w:cs="Arial"/>
          <w:sz w:val="20"/>
          <w:szCs w:val="20"/>
        </w:rPr>
      </w:pPr>
    </w:p>
    <w:p w14:paraId="69CB0BD1" w14:textId="77777777" w:rsidR="00165403" w:rsidRPr="0089268E" w:rsidRDefault="00165403" w:rsidP="00153F8C">
      <w:pPr>
        <w:rPr>
          <w:rFonts w:ascii="Arial" w:hAnsi="Arial" w:cs="Arial"/>
          <w:sz w:val="20"/>
          <w:szCs w:val="20"/>
        </w:rPr>
      </w:pPr>
    </w:p>
    <w:sectPr w:rsidR="00165403" w:rsidRPr="008926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47DDD"/>
    <w:multiLevelType w:val="hybridMultilevel"/>
    <w:tmpl w:val="E3F6DA8E"/>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4C44BCA"/>
    <w:multiLevelType w:val="hybridMultilevel"/>
    <w:tmpl w:val="888C0C8A"/>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83B2539"/>
    <w:multiLevelType w:val="hybridMultilevel"/>
    <w:tmpl w:val="4E2A0C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35FC4F1B"/>
    <w:multiLevelType w:val="multilevel"/>
    <w:tmpl w:val="EB34D7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DF8260F"/>
    <w:multiLevelType w:val="hybridMultilevel"/>
    <w:tmpl w:val="A7BA18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04E3B76"/>
    <w:multiLevelType w:val="hybridMultilevel"/>
    <w:tmpl w:val="9F3AE8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0707869"/>
    <w:multiLevelType w:val="hybridMultilevel"/>
    <w:tmpl w:val="E392D86A"/>
    <w:lvl w:ilvl="0" w:tplc="1932D37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CB126E"/>
    <w:multiLevelType w:val="hybridMultilevel"/>
    <w:tmpl w:val="E304B04C"/>
    <w:lvl w:ilvl="0" w:tplc="43207F5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BAB355D"/>
    <w:multiLevelType w:val="hybridMultilevel"/>
    <w:tmpl w:val="47FCE230"/>
    <w:lvl w:ilvl="0" w:tplc="DA2EDA60">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C871B74"/>
    <w:multiLevelType w:val="multilevel"/>
    <w:tmpl w:val="D2E663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44876163">
    <w:abstractNumId w:val="0"/>
  </w:num>
  <w:num w:numId="2" w16cid:durableId="267547548">
    <w:abstractNumId w:val="0"/>
  </w:num>
  <w:num w:numId="3" w16cid:durableId="1796175316">
    <w:abstractNumId w:val="6"/>
  </w:num>
  <w:num w:numId="4" w16cid:durableId="587618236">
    <w:abstractNumId w:val="1"/>
  </w:num>
  <w:num w:numId="5" w16cid:durableId="1642610420">
    <w:abstractNumId w:val="4"/>
  </w:num>
  <w:num w:numId="6" w16cid:durableId="2041858383">
    <w:abstractNumId w:val="7"/>
  </w:num>
  <w:num w:numId="7" w16cid:durableId="862861571">
    <w:abstractNumId w:val="8"/>
  </w:num>
  <w:num w:numId="8" w16cid:durableId="2102791786">
    <w:abstractNumId w:val="9"/>
  </w:num>
  <w:num w:numId="9" w16cid:durableId="16319335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379045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02878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6B7"/>
    <w:rsid w:val="00153F8C"/>
    <w:rsid w:val="00165403"/>
    <w:rsid w:val="002A5FEA"/>
    <w:rsid w:val="002B20F0"/>
    <w:rsid w:val="004C3324"/>
    <w:rsid w:val="00502D28"/>
    <w:rsid w:val="00561657"/>
    <w:rsid w:val="005839ED"/>
    <w:rsid w:val="005F3203"/>
    <w:rsid w:val="00607DEC"/>
    <w:rsid w:val="00712D41"/>
    <w:rsid w:val="00826351"/>
    <w:rsid w:val="00871521"/>
    <w:rsid w:val="0089268E"/>
    <w:rsid w:val="00A5793C"/>
    <w:rsid w:val="00AD7DD7"/>
    <w:rsid w:val="00AE73A6"/>
    <w:rsid w:val="00B205D4"/>
    <w:rsid w:val="00B5652A"/>
    <w:rsid w:val="00BC4029"/>
    <w:rsid w:val="00CD4881"/>
    <w:rsid w:val="00E52F99"/>
    <w:rsid w:val="00E9619F"/>
    <w:rsid w:val="00E97C27"/>
    <w:rsid w:val="00EF36B7"/>
    <w:rsid w:val="00F1436D"/>
    <w:rsid w:val="00F70BBD"/>
    <w:rsid w:val="00FD1E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4F480"/>
  <w15:chartTrackingRefBased/>
  <w15:docId w15:val="{6C7C0223-426D-4FE8-83F9-28A0F4EA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6B7"/>
  </w:style>
  <w:style w:type="paragraph" w:styleId="Heading1">
    <w:name w:val="heading 1"/>
    <w:basedOn w:val="Normal"/>
    <w:next w:val="Normal"/>
    <w:link w:val="Heading1Char"/>
    <w:uiPriority w:val="9"/>
    <w:qFormat/>
    <w:rsid w:val="00EF36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36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36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36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36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36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36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36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36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6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36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36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36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36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36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6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6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6B7"/>
    <w:rPr>
      <w:rFonts w:eastAsiaTheme="majorEastAsia" w:cstheme="majorBidi"/>
      <w:color w:val="272727" w:themeColor="text1" w:themeTint="D8"/>
    </w:rPr>
  </w:style>
  <w:style w:type="paragraph" w:styleId="Title">
    <w:name w:val="Title"/>
    <w:basedOn w:val="Normal"/>
    <w:next w:val="Normal"/>
    <w:link w:val="TitleChar"/>
    <w:uiPriority w:val="10"/>
    <w:qFormat/>
    <w:rsid w:val="00EF36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36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6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36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6B7"/>
    <w:pPr>
      <w:spacing w:before="160"/>
      <w:jc w:val="center"/>
    </w:pPr>
    <w:rPr>
      <w:i/>
      <w:iCs/>
      <w:color w:val="404040" w:themeColor="text1" w:themeTint="BF"/>
    </w:rPr>
  </w:style>
  <w:style w:type="character" w:customStyle="1" w:styleId="QuoteChar">
    <w:name w:val="Quote Char"/>
    <w:basedOn w:val="DefaultParagraphFont"/>
    <w:link w:val="Quote"/>
    <w:uiPriority w:val="29"/>
    <w:rsid w:val="00EF36B7"/>
    <w:rPr>
      <w:i/>
      <w:iCs/>
      <w:color w:val="404040" w:themeColor="text1" w:themeTint="BF"/>
    </w:rPr>
  </w:style>
  <w:style w:type="paragraph" w:styleId="ListParagraph">
    <w:name w:val="List Paragraph"/>
    <w:basedOn w:val="Normal"/>
    <w:uiPriority w:val="34"/>
    <w:qFormat/>
    <w:rsid w:val="00EF36B7"/>
    <w:pPr>
      <w:ind w:left="720"/>
      <w:contextualSpacing/>
    </w:pPr>
  </w:style>
  <w:style w:type="character" w:styleId="IntenseEmphasis">
    <w:name w:val="Intense Emphasis"/>
    <w:basedOn w:val="DefaultParagraphFont"/>
    <w:uiPriority w:val="21"/>
    <w:qFormat/>
    <w:rsid w:val="00EF36B7"/>
    <w:rPr>
      <w:i/>
      <w:iCs/>
      <w:color w:val="0F4761" w:themeColor="accent1" w:themeShade="BF"/>
    </w:rPr>
  </w:style>
  <w:style w:type="paragraph" w:styleId="IntenseQuote">
    <w:name w:val="Intense Quote"/>
    <w:basedOn w:val="Normal"/>
    <w:next w:val="Normal"/>
    <w:link w:val="IntenseQuoteChar"/>
    <w:uiPriority w:val="30"/>
    <w:qFormat/>
    <w:rsid w:val="00EF36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36B7"/>
    <w:rPr>
      <w:i/>
      <w:iCs/>
      <w:color w:val="0F4761" w:themeColor="accent1" w:themeShade="BF"/>
    </w:rPr>
  </w:style>
  <w:style w:type="character" w:styleId="IntenseReference">
    <w:name w:val="Intense Reference"/>
    <w:basedOn w:val="DefaultParagraphFont"/>
    <w:uiPriority w:val="32"/>
    <w:qFormat/>
    <w:rsid w:val="00EF36B7"/>
    <w:rPr>
      <w:b/>
      <w:bCs/>
      <w:smallCaps/>
      <w:color w:val="0F4761" w:themeColor="accent1" w:themeShade="BF"/>
      <w:spacing w:val="5"/>
    </w:rPr>
  </w:style>
  <w:style w:type="character" w:styleId="Hyperlink">
    <w:name w:val="Hyperlink"/>
    <w:basedOn w:val="DefaultParagraphFont"/>
    <w:uiPriority w:val="99"/>
    <w:unhideWhenUsed/>
    <w:rsid w:val="00B205D4"/>
    <w:rPr>
      <w:color w:val="467886" w:themeColor="hyperlink"/>
      <w:u w:val="single"/>
    </w:rPr>
  </w:style>
  <w:style w:type="character" w:styleId="UnresolvedMention">
    <w:name w:val="Unresolved Mention"/>
    <w:basedOn w:val="DefaultParagraphFont"/>
    <w:uiPriority w:val="99"/>
    <w:semiHidden/>
    <w:unhideWhenUsed/>
    <w:rsid w:val="00B20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032488">
      <w:bodyDiv w:val="1"/>
      <w:marLeft w:val="0"/>
      <w:marRight w:val="0"/>
      <w:marTop w:val="0"/>
      <w:marBottom w:val="0"/>
      <w:divBdr>
        <w:top w:val="none" w:sz="0" w:space="0" w:color="auto"/>
        <w:left w:val="none" w:sz="0" w:space="0" w:color="auto"/>
        <w:bottom w:val="none" w:sz="0" w:space="0" w:color="auto"/>
        <w:right w:val="none" w:sz="0" w:space="0" w:color="auto"/>
      </w:divBdr>
    </w:div>
    <w:div w:id="542864332">
      <w:bodyDiv w:val="1"/>
      <w:marLeft w:val="0"/>
      <w:marRight w:val="0"/>
      <w:marTop w:val="0"/>
      <w:marBottom w:val="0"/>
      <w:divBdr>
        <w:top w:val="none" w:sz="0" w:space="0" w:color="auto"/>
        <w:left w:val="none" w:sz="0" w:space="0" w:color="auto"/>
        <w:bottom w:val="none" w:sz="0" w:space="0" w:color="auto"/>
        <w:right w:val="none" w:sz="0" w:space="0" w:color="auto"/>
      </w:divBdr>
    </w:div>
    <w:div w:id="568081917">
      <w:bodyDiv w:val="1"/>
      <w:marLeft w:val="0"/>
      <w:marRight w:val="0"/>
      <w:marTop w:val="0"/>
      <w:marBottom w:val="0"/>
      <w:divBdr>
        <w:top w:val="none" w:sz="0" w:space="0" w:color="auto"/>
        <w:left w:val="none" w:sz="0" w:space="0" w:color="auto"/>
        <w:bottom w:val="none" w:sz="0" w:space="0" w:color="auto"/>
        <w:right w:val="none" w:sz="0" w:space="0" w:color="auto"/>
      </w:divBdr>
    </w:div>
    <w:div w:id="934284701">
      <w:bodyDiv w:val="1"/>
      <w:marLeft w:val="0"/>
      <w:marRight w:val="0"/>
      <w:marTop w:val="0"/>
      <w:marBottom w:val="0"/>
      <w:divBdr>
        <w:top w:val="none" w:sz="0" w:space="0" w:color="auto"/>
        <w:left w:val="none" w:sz="0" w:space="0" w:color="auto"/>
        <w:bottom w:val="none" w:sz="0" w:space="0" w:color="auto"/>
        <w:right w:val="none" w:sz="0" w:space="0" w:color="auto"/>
      </w:divBdr>
    </w:div>
    <w:div w:id="937099472">
      <w:bodyDiv w:val="1"/>
      <w:marLeft w:val="0"/>
      <w:marRight w:val="0"/>
      <w:marTop w:val="0"/>
      <w:marBottom w:val="0"/>
      <w:divBdr>
        <w:top w:val="none" w:sz="0" w:space="0" w:color="auto"/>
        <w:left w:val="none" w:sz="0" w:space="0" w:color="auto"/>
        <w:bottom w:val="none" w:sz="0" w:space="0" w:color="auto"/>
        <w:right w:val="none" w:sz="0" w:space="0" w:color="auto"/>
      </w:divBdr>
    </w:div>
    <w:div w:id="1000817703">
      <w:bodyDiv w:val="1"/>
      <w:marLeft w:val="0"/>
      <w:marRight w:val="0"/>
      <w:marTop w:val="0"/>
      <w:marBottom w:val="0"/>
      <w:divBdr>
        <w:top w:val="none" w:sz="0" w:space="0" w:color="auto"/>
        <w:left w:val="none" w:sz="0" w:space="0" w:color="auto"/>
        <w:bottom w:val="none" w:sz="0" w:space="0" w:color="auto"/>
        <w:right w:val="none" w:sz="0" w:space="0" w:color="auto"/>
      </w:divBdr>
    </w:div>
    <w:div w:id="1030645656">
      <w:bodyDiv w:val="1"/>
      <w:marLeft w:val="0"/>
      <w:marRight w:val="0"/>
      <w:marTop w:val="0"/>
      <w:marBottom w:val="0"/>
      <w:divBdr>
        <w:top w:val="none" w:sz="0" w:space="0" w:color="auto"/>
        <w:left w:val="none" w:sz="0" w:space="0" w:color="auto"/>
        <w:bottom w:val="none" w:sz="0" w:space="0" w:color="auto"/>
        <w:right w:val="none" w:sz="0" w:space="0" w:color="auto"/>
      </w:divBdr>
    </w:div>
    <w:div w:id="1031997581">
      <w:bodyDiv w:val="1"/>
      <w:marLeft w:val="0"/>
      <w:marRight w:val="0"/>
      <w:marTop w:val="0"/>
      <w:marBottom w:val="0"/>
      <w:divBdr>
        <w:top w:val="none" w:sz="0" w:space="0" w:color="auto"/>
        <w:left w:val="none" w:sz="0" w:space="0" w:color="auto"/>
        <w:bottom w:val="none" w:sz="0" w:space="0" w:color="auto"/>
        <w:right w:val="none" w:sz="0" w:space="0" w:color="auto"/>
      </w:divBdr>
    </w:div>
    <w:div w:id="1047215505">
      <w:bodyDiv w:val="1"/>
      <w:marLeft w:val="0"/>
      <w:marRight w:val="0"/>
      <w:marTop w:val="0"/>
      <w:marBottom w:val="0"/>
      <w:divBdr>
        <w:top w:val="none" w:sz="0" w:space="0" w:color="auto"/>
        <w:left w:val="none" w:sz="0" w:space="0" w:color="auto"/>
        <w:bottom w:val="none" w:sz="0" w:space="0" w:color="auto"/>
        <w:right w:val="none" w:sz="0" w:space="0" w:color="auto"/>
      </w:divBdr>
    </w:div>
    <w:div w:id="1119296419">
      <w:bodyDiv w:val="1"/>
      <w:marLeft w:val="0"/>
      <w:marRight w:val="0"/>
      <w:marTop w:val="0"/>
      <w:marBottom w:val="0"/>
      <w:divBdr>
        <w:top w:val="none" w:sz="0" w:space="0" w:color="auto"/>
        <w:left w:val="none" w:sz="0" w:space="0" w:color="auto"/>
        <w:bottom w:val="none" w:sz="0" w:space="0" w:color="auto"/>
        <w:right w:val="none" w:sz="0" w:space="0" w:color="auto"/>
      </w:divBdr>
    </w:div>
    <w:div w:id="1124807261">
      <w:bodyDiv w:val="1"/>
      <w:marLeft w:val="0"/>
      <w:marRight w:val="0"/>
      <w:marTop w:val="0"/>
      <w:marBottom w:val="0"/>
      <w:divBdr>
        <w:top w:val="none" w:sz="0" w:space="0" w:color="auto"/>
        <w:left w:val="none" w:sz="0" w:space="0" w:color="auto"/>
        <w:bottom w:val="none" w:sz="0" w:space="0" w:color="auto"/>
        <w:right w:val="none" w:sz="0" w:space="0" w:color="auto"/>
      </w:divBdr>
    </w:div>
    <w:div w:id="1155344311">
      <w:bodyDiv w:val="1"/>
      <w:marLeft w:val="0"/>
      <w:marRight w:val="0"/>
      <w:marTop w:val="0"/>
      <w:marBottom w:val="0"/>
      <w:divBdr>
        <w:top w:val="none" w:sz="0" w:space="0" w:color="auto"/>
        <w:left w:val="none" w:sz="0" w:space="0" w:color="auto"/>
        <w:bottom w:val="none" w:sz="0" w:space="0" w:color="auto"/>
        <w:right w:val="none" w:sz="0" w:space="0" w:color="auto"/>
      </w:divBdr>
    </w:div>
    <w:div w:id="1370960206">
      <w:bodyDiv w:val="1"/>
      <w:marLeft w:val="0"/>
      <w:marRight w:val="0"/>
      <w:marTop w:val="0"/>
      <w:marBottom w:val="0"/>
      <w:divBdr>
        <w:top w:val="none" w:sz="0" w:space="0" w:color="auto"/>
        <w:left w:val="none" w:sz="0" w:space="0" w:color="auto"/>
        <w:bottom w:val="none" w:sz="0" w:space="0" w:color="auto"/>
        <w:right w:val="none" w:sz="0" w:space="0" w:color="auto"/>
      </w:divBdr>
    </w:div>
    <w:div w:id="1701858356">
      <w:bodyDiv w:val="1"/>
      <w:marLeft w:val="0"/>
      <w:marRight w:val="0"/>
      <w:marTop w:val="0"/>
      <w:marBottom w:val="0"/>
      <w:divBdr>
        <w:top w:val="none" w:sz="0" w:space="0" w:color="auto"/>
        <w:left w:val="none" w:sz="0" w:space="0" w:color="auto"/>
        <w:bottom w:val="none" w:sz="0" w:space="0" w:color="auto"/>
        <w:right w:val="none" w:sz="0" w:space="0" w:color="auto"/>
      </w:divBdr>
    </w:div>
    <w:div w:id="1723940267">
      <w:bodyDiv w:val="1"/>
      <w:marLeft w:val="0"/>
      <w:marRight w:val="0"/>
      <w:marTop w:val="0"/>
      <w:marBottom w:val="0"/>
      <w:divBdr>
        <w:top w:val="none" w:sz="0" w:space="0" w:color="auto"/>
        <w:left w:val="none" w:sz="0" w:space="0" w:color="auto"/>
        <w:bottom w:val="none" w:sz="0" w:space="0" w:color="auto"/>
        <w:right w:val="none" w:sz="0" w:space="0" w:color="auto"/>
      </w:divBdr>
    </w:div>
    <w:div w:id="1732078537">
      <w:bodyDiv w:val="1"/>
      <w:marLeft w:val="0"/>
      <w:marRight w:val="0"/>
      <w:marTop w:val="0"/>
      <w:marBottom w:val="0"/>
      <w:divBdr>
        <w:top w:val="none" w:sz="0" w:space="0" w:color="auto"/>
        <w:left w:val="none" w:sz="0" w:space="0" w:color="auto"/>
        <w:bottom w:val="none" w:sz="0" w:space="0" w:color="auto"/>
        <w:right w:val="none" w:sz="0" w:space="0" w:color="auto"/>
      </w:divBdr>
    </w:div>
    <w:div w:id="1993677805">
      <w:bodyDiv w:val="1"/>
      <w:marLeft w:val="0"/>
      <w:marRight w:val="0"/>
      <w:marTop w:val="0"/>
      <w:marBottom w:val="0"/>
      <w:divBdr>
        <w:top w:val="none" w:sz="0" w:space="0" w:color="auto"/>
        <w:left w:val="none" w:sz="0" w:space="0" w:color="auto"/>
        <w:bottom w:val="none" w:sz="0" w:space="0" w:color="auto"/>
        <w:right w:val="none" w:sz="0" w:space="0" w:color="auto"/>
      </w:divBdr>
    </w:div>
    <w:div w:id="1997684188">
      <w:bodyDiv w:val="1"/>
      <w:marLeft w:val="0"/>
      <w:marRight w:val="0"/>
      <w:marTop w:val="0"/>
      <w:marBottom w:val="0"/>
      <w:divBdr>
        <w:top w:val="none" w:sz="0" w:space="0" w:color="auto"/>
        <w:left w:val="none" w:sz="0" w:space="0" w:color="auto"/>
        <w:bottom w:val="none" w:sz="0" w:space="0" w:color="auto"/>
        <w:right w:val="none" w:sz="0" w:space="0" w:color="auto"/>
      </w:divBdr>
    </w:div>
    <w:div w:id="2041280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uichet.public.lu/fr/citoyens/famille-education/parents/garde-enfants/conge-maladie-enfant.html" TargetMode="External"/><Relationship Id="rId11" Type="http://schemas.openxmlformats.org/officeDocument/2006/relationships/customXml" Target="../customXml/item3.xml"/><Relationship Id="rId5" Type="http://schemas.openxmlformats.org/officeDocument/2006/relationships/hyperlink" Target="https://www.partenaires.lu/produits/"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BDD4925-342C-4889-B9B0-60E3F01BFF84}"/>
</file>

<file path=customXml/itemProps2.xml><?xml version="1.0" encoding="utf-8"?>
<ds:datastoreItem xmlns:ds="http://schemas.openxmlformats.org/officeDocument/2006/customXml" ds:itemID="{CEAF48B6-D029-4ED5-B0F5-A6B4B59BA17A}"/>
</file>

<file path=customXml/itemProps3.xml><?xml version="1.0" encoding="utf-8"?>
<ds:datastoreItem xmlns:ds="http://schemas.openxmlformats.org/officeDocument/2006/customXml" ds:itemID="{4F17DE83-031E-4A30-9DE9-DEBB458BC323}"/>
</file>

<file path=docProps/app.xml><?xml version="1.0" encoding="utf-8"?>
<Properties xmlns="http://schemas.openxmlformats.org/officeDocument/2006/extended-properties" xmlns:vt="http://schemas.openxmlformats.org/officeDocument/2006/docPropsVTypes">
  <Template>Normal.dotm</Template>
  <TotalTime>0</TotalTime>
  <Pages>3</Pages>
  <Words>542</Words>
  <Characters>3091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European Schools</Company>
  <LinksUpToDate>false</LinksUpToDate>
  <CharactersWithSpaces>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VANDERKELEN Laurent (OSG)</dc:creator>
  <cp:keywords/>
  <dc:description/>
  <cp:lastModifiedBy>VANDERKELEN Laurent (OSG)</cp:lastModifiedBy>
  <cp:revision>5</cp:revision>
  <dcterms:created xsi:type="dcterms:W3CDTF">2024-10-14T12:38:00Z</dcterms:created>
  <dcterms:modified xsi:type="dcterms:W3CDTF">2024-10-15T05:26:00Z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